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6E" w:rsidRDefault="00F4565F">
      <w:r>
        <w:rPr>
          <w:rFonts w:hint="eastAsia"/>
        </w:rPr>
        <w:t>低入札価格調査制度フロー</w:t>
      </w:r>
    </w:p>
    <w:p w:rsidR="00786EDA" w:rsidRDefault="00F844A2">
      <w:r>
        <w:rPr>
          <w:noProof/>
        </w:rPr>
        <w:pict>
          <v:roundrect id="_x0000_s1065" style="position:absolute;left:0;text-align:left;margin-left:208.8pt;margin-top:9.25pt;width:105.75pt;height:22.7pt;z-index:-251619328" arcsize="10923f" wrapcoords="613 -584 -153 584 -153 18681 153 21016 21294 21016 21753 18097 21753 4086 21447 584 20834 -584 613 -584">
            <v:textbox style="mso-next-textbox:#_x0000_s1065" inset="5.85pt,.7pt,5.85pt,.7pt">
              <w:txbxContent>
                <w:p w:rsidR="007E5445" w:rsidRPr="00786EDA" w:rsidRDefault="007E5445" w:rsidP="00786EDA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現場説明会</w:t>
                  </w:r>
                </w:p>
              </w:txbxContent>
            </v:textbox>
          </v:roundrect>
        </w:pict>
      </w:r>
    </w:p>
    <w:p w:rsidR="00786EDA" w:rsidRDefault="00F844A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256.55pt;margin-top:11.95pt;width:0;height:19.3pt;z-index:251699200" o:connectortype="straight">
            <v:stroke endarrow="block"/>
          </v:shape>
        </w:pict>
      </w:r>
    </w:p>
    <w:p w:rsidR="00786EDA" w:rsidRDefault="00F844A2">
      <w:r>
        <w:rPr>
          <w:noProof/>
        </w:rPr>
        <w:pict>
          <v:roundrect id="_x0000_s1066" style="position:absolute;left:0;text-align:left;margin-left:208.8pt;margin-top:11.25pt;width:105.75pt;height:22.7pt;z-index:-251618304" arcsize="10923f" wrapcoords="613 -584 -153 584 -153 18681 153 21016 21294 21016 21753 18097 21753 4086 21447 584 20834 -584 613 -584">
            <v:textbox style="mso-next-textbox:#_x0000_s1066" inset="5.85pt,.7pt,5.85pt,.7pt">
              <w:txbxContent>
                <w:p w:rsidR="007E5445" w:rsidRPr="00773BE9" w:rsidRDefault="007E5445" w:rsidP="00786EDA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入札公告</w:t>
                  </w:r>
                </w:p>
              </w:txbxContent>
            </v:textbox>
          </v:roundrect>
        </w:pict>
      </w:r>
    </w:p>
    <w:p w:rsidR="00786EDA" w:rsidRDefault="00F844A2">
      <w:r>
        <w:rPr>
          <w:noProof/>
        </w:rPr>
        <w:pict>
          <v:shape id="_x0000_s1068" type="#_x0000_t32" style="position:absolute;left:0;text-align:left;margin-left:256.55pt;margin-top:13.95pt;width:0;height:18.3pt;z-index:251700224" o:connectortype="straight">
            <v:stroke endarrow="block"/>
          </v:shape>
        </w:pict>
      </w:r>
    </w:p>
    <w:p w:rsidR="00414AD2" w:rsidRDefault="00F844A2">
      <w:r>
        <w:rPr>
          <w:noProof/>
        </w:rPr>
        <w:pict>
          <v:roundrect id="_x0000_s1027" style="position:absolute;left:0;text-align:left;margin-left:208.8pt;margin-top:12.25pt;width:105.75pt;height:22.7pt;z-index:-251658240" arcsize="10923f" wrapcoords="613 -584 -153 584 -153 18681 153 21016 21294 21016 21753 18097 21753 4086 21447 584 20834 -584 613 -584">
            <v:textbox style="mso-next-textbox:#_x0000_s1027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競争入札の実施</w:t>
                  </w:r>
                </w:p>
              </w:txbxContent>
            </v:textbox>
          </v:roundrect>
        </w:pict>
      </w:r>
    </w:p>
    <w:p w:rsidR="00F4565F" w:rsidRDefault="0050005F">
      <w:r>
        <w:rPr>
          <w:noProof/>
        </w:rPr>
        <w:pict>
          <v:roundrect id="_x0000_s1037" style="position:absolute;left:0;text-align:left;margin-left:19.75pt;margin-top:500pt;width:189.05pt;height:62.5pt;z-index:251668480" arcsize="10923f">
            <v:textbox style="mso-next-textbox:#_x0000_s1037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次順位の者が</w:t>
                  </w:r>
                  <w:r>
                    <w:rPr>
                      <w:rFonts w:hint="eastAsia"/>
                      <w:sz w:val="20"/>
                      <w:szCs w:val="20"/>
                    </w:rPr>
                    <w:t>調査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基準価格</w:t>
                  </w:r>
                  <w:r>
                    <w:rPr>
                      <w:rFonts w:hint="eastAsia"/>
                      <w:sz w:val="20"/>
                      <w:szCs w:val="20"/>
                    </w:rPr>
                    <w:t>と失格基準価格の範囲内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での入札であった場合</w:t>
                  </w:r>
                </w:p>
              </w:txbxContent>
            </v:textbox>
          </v:roundrect>
        </w:pict>
      </w:r>
      <w:r w:rsidR="007E5445">
        <w:rPr>
          <w:noProof/>
        </w:rPr>
        <w:pict>
          <v:roundrect id="_x0000_s1075" style="position:absolute;left:0;text-align:left;margin-left:19.75pt;margin-top:454.55pt;width:125pt;height:23.45pt;z-index:251703296" arcsize="10923f">
            <v:textbox style="mso-next-textbox:#_x0000_s1075" inset="5.85pt,.7pt,5.85pt,.7pt">
              <w:txbxContent>
                <w:p w:rsidR="007E5445" w:rsidRPr="0042620C" w:rsidRDefault="007E5445" w:rsidP="00963452">
                  <w:pPr>
                    <w:spacing w:line="200" w:lineRule="atLeast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不適格の通知</w:t>
                  </w:r>
                </w:p>
              </w:txbxContent>
            </v:textbox>
          </v:roundrect>
        </w:pict>
      </w:r>
      <w:r w:rsidR="007E5445">
        <w:rPr>
          <w:noProof/>
        </w:rPr>
        <w:pict>
          <v:roundrect id="_x0000_s1028" style="position:absolute;left:0;text-align:left;margin-left:333.35pt;margin-top:50pt;width:161.7pt;height:39.7pt;z-index:251659264" arcsize="10923f">
            <v:textbox style="mso-next-textbox:#_x0000_s1028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予定価格と</w:t>
                  </w:r>
                  <w:r>
                    <w:rPr>
                      <w:rFonts w:hint="eastAsia"/>
                      <w:sz w:val="20"/>
                      <w:szCs w:val="20"/>
                    </w:rPr>
                    <w:t>調査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基準価格の範囲</w:t>
                  </w:r>
                  <w:r>
                    <w:rPr>
                      <w:rFonts w:hint="eastAsia"/>
                      <w:sz w:val="20"/>
                      <w:szCs w:val="20"/>
                    </w:rPr>
                    <w:t>内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での入札</w:t>
                  </w:r>
                </w:p>
              </w:txbxContent>
            </v:textbox>
          </v:roundrect>
        </w:pict>
      </w:r>
      <w:r w:rsidR="007E5445">
        <w:rPr>
          <w:noProof/>
        </w:rPr>
        <w:pict>
          <v:roundrect id="_x0000_s1029" style="position:absolute;left:0;text-align:left;margin-left:19.75pt;margin-top:50pt;width:159.65pt;height:39.7pt;z-index:251660288" arcsize="10923f">
            <v:textbox style="mso-next-textbox:#_x0000_s1029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調査基準価格と失格基準価格の範囲内での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入札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53.1pt;margin-top:203pt;width:277.65pt;height:22.7pt;z-index:251695104;mso-width-relative:margin;mso-height-relative:margin" stroked="f">
            <v:textbox style="mso-next-textbox:#_x0000_s1062">
              <w:txbxContent>
                <w:p w:rsidR="007E5445" w:rsidRPr="0077332E" w:rsidRDefault="0050005F" w:rsidP="0077332E">
                  <w:pPr>
                    <w:spacing w:line="20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低入札価格調査報告書により委員</w:t>
                  </w:r>
                  <w:r w:rsidR="007E5445">
                    <w:rPr>
                      <w:rFonts w:hint="eastAsia"/>
                      <w:sz w:val="20"/>
                      <w:szCs w:val="20"/>
                    </w:rPr>
                    <w:t>会へ報告する</w:t>
                  </w:r>
                </w:p>
              </w:txbxContent>
            </v:textbox>
          </v:shape>
        </w:pict>
      </w:r>
      <w:r w:rsidR="00F844A2">
        <w:rPr>
          <w:noProof/>
        </w:rPr>
        <w:pict>
          <v:shape id="_x0000_s1063" type="#_x0000_t202" style="position:absolute;left:0;text-align:left;margin-left:153.1pt;margin-top:235.7pt;width:277.65pt;height:44pt;z-index:251696128;mso-width-relative:margin;mso-height-relative:margin" stroked="f">
            <v:textbox style="mso-next-textbox:#_x0000_s1063">
              <w:txbxContent>
                <w:p w:rsidR="007E5445" w:rsidRDefault="0050005F" w:rsidP="0077332E">
                  <w:pPr>
                    <w:spacing w:line="20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委員</w:t>
                  </w:r>
                  <w:r w:rsidR="007E5445">
                    <w:rPr>
                      <w:rFonts w:hint="eastAsia"/>
                      <w:sz w:val="20"/>
                      <w:szCs w:val="20"/>
                    </w:rPr>
                    <w:t>会が行う</w:t>
                  </w:r>
                </w:p>
                <w:p w:rsidR="007E5445" w:rsidRPr="0077332E" w:rsidRDefault="007E5445" w:rsidP="0077332E">
                  <w:pPr>
                    <w:spacing w:line="20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必要に応じ工事担当課長の意見を求める</w:t>
                  </w:r>
                </w:p>
              </w:txbxContent>
            </v:textbox>
          </v:shape>
        </w:pict>
      </w:r>
      <w:r w:rsidR="00F844A2">
        <w:rPr>
          <w:noProof/>
        </w:rPr>
        <w:pict>
          <v:shape id="_x0000_s1061" type="#_x0000_t202" style="position:absolute;left:0;text-align:left;margin-left:153.1pt;margin-top:146.4pt;width:209.25pt;height:40.3pt;z-index:251694080;mso-width-percent:400;mso-width-percent:400;mso-width-relative:margin;mso-height-relative:margin" stroked="f">
            <v:textbox style="mso-next-textbox:#_x0000_s1061">
              <w:txbxContent>
                <w:p w:rsidR="007E5445" w:rsidRPr="0077332E" w:rsidRDefault="007E5445" w:rsidP="0077332E">
                  <w:pPr>
                    <w:spacing w:line="200" w:lineRule="atLeast"/>
                    <w:rPr>
                      <w:sz w:val="20"/>
                      <w:szCs w:val="20"/>
                    </w:rPr>
                  </w:pPr>
                  <w:r w:rsidRPr="0077332E">
                    <w:rPr>
                      <w:rFonts w:hint="eastAsia"/>
                      <w:sz w:val="20"/>
                      <w:szCs w:val="20"/>
                    </w:rPr>
                    <w:t>第一順位のみに調査資料の提出を求める工事担当課長が行う</w:t>
                  </w:r>
                </w:p>
              </w:txbxContent>
            </v:textbox>
          </v:shape>
        </w:pict>
      </w:r>
      <w:r w:rsidR="00F844A2">
        <w:rPr>
          <w:noProof/>
        </w:rPr>
        <w:pict>
          <v:shape id="_x0000_s1072" type="#_x0000_t32" style="position:absolute;left:0;text-align:left;margin-left:-3.15pt;margin-top:170.25pt;width:22.9pt;height:0;z-index:251702272" o:connectortype="straight">
            <v:stroke endarrow="block"/>
          </v:shape>
        </w:pict>
      </w:r>
      <w:r w:rsidR="00F844A2">
        <w:rPr>
          <w:noProof/>
        </w:rPr>
        <w:pict>
          <v:shape id="_x0000_s1055" type="#_x0000_t32" style="position:absolute;left:0;text-align:left;margin-left:70.95pt;margin-top:399.1pt;width:.1pt;height:100.9pt;z-index:251686912" o:connectortype="straight">
            <v:stroke endarrow="block"/>
          </v:shape>
        </w:pict>
      </w:r>
      <w:r w:rsidR="00F844A2">
        <w:rPr>
          <w:noProof/>
        </w:rPr>
        <w:pict>
          <v:roundrect id="_x0000_s1036" style="position:absolute;left:0;text-align:left;margin-left:16pt;margin-top:336.75pt;width:208.35pt;height:62.35pt;z-index:251667456" arcsize="10923f">
            <v:textbox style="mso-next-textbox:#_x0000_s1036" inset="5.85pt,.7pt,5.85pt,.7pt">
              <w:txbxContent>
                <w:p w:rsidR="007E5445" w:rsidRPr="00773BE9" w:rsidRDefault="007E5445" w:rsidP="00E50C46">
                  <w:pPr>
                    <w:tabs>
                      <w:tab w:val="left" w:pos="426"/>
                    </w:tabs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審査により契約の内容に適合した履行がされない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おそれがあると認められる場合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shape id="_x0000_s1053" type="#_x0000_t32" style="position:absolute;left:0;text-align:left;margin-left:70.95pt;margin-top:315.7pt;width:.05pt;height:21.05pt;z-index:251684864" o:connectortype="straight">
            <v:stroke endarrow="block"/>
          </v:shape>
        </w:pict>
      </w:r>
      <w:r w:rsidR="00F844A2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4" type="#_x0000_t34" style="position:absolute;left:0;text-align:left;margin-left:144.75pt;margin-top:304.5pt;width:265.4pt;height:51.5pt;z-index:251685888" o:connectortype="elbow" adj="21604,-193142,-13624">
            <v:stroke endarrow="block"/>
          </v:shape>
        </w:pict>
      </w:r>
      <w:r w:rsidR="00F844A2">
        <w:rPr>
          <w:noProof/>
        </w:rPr>
        <w:pict>
          <v:roundrect id="_x0000_s1040" style="position:absolute;left:0;text-align:left;margin-left:256.55pt;margin-top:500pt;width:177.15pt;height:62.5pt;z-index:251671552" arcsize="10923f">
            <v:textbox style="mso-next-textbox:#_x0000_s1040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次順位の者が予定価格と</w:t>
                  </w:r>
                  <w:r>
                    <w:rPr>
                      <w:rFonts w:hint="eastAsia"/>
                      <w:sz w:val="20"/>
                      <w:szCs w:val="20"/>
                    </w:rPr>
                    <w:t>調査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基準価格の範囲内での入札であった場合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shape id="_x0000_s1059" type="#_x0000_t32" style="position:absolute;left:0;text-align:left;margin-left:333.3pt;margin-top:562.5pt;width:.05pt;height:16.85pt;flip:x;z-index:251691008" o:connectortype="straight">
            <v:stroke endarrow="block"/>
          </v:shape>
        </w:pict>
      </w:r>
      <w:r w:rsidR="00F844A2">
        <w:rPr>
          <w:noProof/>
        </w:rPr>
        <w:pict>
          <v:shape id="_x0000_s1071" type="#_x0000_t34" style="position:absolute;left:0;text-align:left;margin-left:-167.6pt;margin-top:334.7pt;width:351.75pt;height:22.9pt;rotation:270;flip:x;z-index:251701248" o:connectortype="elbow" adj="64,639511,-2604"/>
        </w:pict>
      </w:r>
      <w:r w:rsidR="00F844A2">
        <w:rPr>
          <w:noProof/>
        </w:rPr>
        <w:pict>
          <v:shape id="_x0000_s1060" type="#_x0000_t32" style="position:absolute;left:0;text-align:left;margin-left:333.2pt;margin-top:603.35pt;width:.05pt;height:22.65pt;z-index:251692032" o:connectortype="straight">
            <v:stroke endarrow="block"/>
          </v:shape>
        </w:pict>
      </w:r>
      <w:r w:rsidR="00F844A2">
        <w:rPr>
          <w:noProof/>
        </w:rPr>
        <w:pict>
          <v:roundrect id="_x0000_s1043" style="position:absolute;left:0;text-align:left;margin-left:307.75pt;margin-top:626pt;width:57.6pt;height:22.7pt;z-index:251674624" arcsize="10923f">
            <v:textbox style="mso-next-textbox:#_x0000_s1043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通知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roundrect id="_x0000_s1042" style="position:absolute;left:0;text-align:left;margin-left:256.55pt;margin-top:579.35pt;width:177.15pt;height:22.7pt;z-index:251673600" arcsize="10923f">
            <v:textbox style="mso-next-textbox:#_x0000_s1042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次順位の者を落札者と決定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shape id="_x0000_s1058" type="#_x0000_t34" style="position:absolute;left:0;text-align:left;margin-left:71pt;margin-top:464pt;width:262.35pt;height:36pt;z-index:251689984" o:connectortype="elbow" adj="21604,-324000,-7710">
            <v:stroke endarrow="block"/>
          </v:shape>
        </w:pict>
      </w:r>
      <w:r w:rsidR="00F844A2">
        <w:rPr>
          <w:noProof/>
        </w:rPr>
        <w:pict>
          <v:shape id="_x0000_s1057" type="#_x0000_t32" style="position:absolute;left:0;text-align:left;margin-left:410.05pt;margin-top:441.7pt;width:.05pt;height:22.65pt;z-index:251688960" o:connectortype="straight">
            <v:stroke endarrow="block"/>
          </v:shape>
        </w:pict>
      </w:r>
      <w:r w:rsidR="00F844A2">
        <w:rPr>
          <w:noProof/>
        </w:rPr>
        <w:pict>
          <v:roundrect id="_x0000_s1041" style="position:absolute;left:0;text-align:left;margin-left:384.55pt;margin-top:464pt;width:57.6pt;height:22.7pt;z-index:251672576" arcsize="10923f">
            <v:textbox style="mso-next-textbox:#_x0000_s1041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通知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shape id="_x0000_s1056" type="#_x0000_t32" style="position:absolute;left:0;text-align:left;margin-left:410.1pt;margin-top:395.7pt;width:.05pt;height:22.65pt;z-index:251687936" o:connectortype="straight">
            <v:stroke endarrow="block"/>
          </v:shape>
        </w:pict>
      </w:r>
      <w:r w:rsidR="00F844A2">
        <w:rPr>
          <w:noProof/>
        </w:rPr>
        <w:pict>
          <v:roundrect id="_x0000_s1039" style="position:absolute;left:0;text-align:left;margin-left:307.75pt;margin-top:419pt;width:219.8pt;height:22.7pt;z-index:251670528" arcsize="10923f">
            <v:textbox style="mso-next-textbox:#_x0000_s1039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落札者として決定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shape id="_x0000_s1052" type="#_x0000_t32" style="position:absolute;left:0;text-align:left;margin-left:71pt;margin-top:270.7pt;width:0;height:22.3pt;z-index:251683840" o:connectortype="straight">
            <v:stroke endarrow="block"/>
          </v:shape>
        </w:pict>
      </w:r>
      <w:r w:rsidR="00F844A2">
        <w:rPr>
          <w:noProof/>
        </w:rPr>
        <w:pict>
          <v:shape id="_x0000_s1050" type="#_x0000_t32" style="position:absolute;left:0;text-align:left;margin-left:70.95pt;margin-top:180.7pt;width:.05pt;height:22.3pt;z-index:251681792" o:connectortype="straight">
            <v:stroke endarrow="block"/>
          </v:shape>
        </w:pict>
      </w:r>
      <w:r w:rsidR="00F844A2">
        <w:rPr>
          <w:noProof/>
        </w:rPr>
        <w:pict>
          <v:shape id="_x0000_s1051" type="#_x0000_t32" style="position:absolute;left:0;text-align:left;margin-left:70.95pt;margin-top:225.7pt;width:0;height:23.3pt;z-index:251682816" o:connectortype="straight">
            <v:stroke endarrow="block"/>
          </v:shape>
        </w:pict>
      </w:r>
      <w:r w:rsidR="00F844A2">
        <w:rPr>
          <w:noProof/>
        </w:rPr>
        <w:pict>
          <v:shape id="_x0000_s1049" type="#_x0000_t32" style="position:absolute;left:0;text-align:left;margin-left:70.95pt;margin-top:135.7pt;width:0;height:23.3pt;z-index:251680768" o:connectortype="straight">
            <v:stroke endarrow="block"/>
          </v:shape>
        </w:pict>
      </w:r>
      <w:r w:rsidR="00F844A2">
        <w:rPr>
          <w:noProof/>
        </w:rPr>
        <w:pict>
          <v:shape id="_x0000_s1048" type="#_x0000_t32" style="position:absolute;left:0;text-align:left;margin-left:70.95pt;margin-top:89.7pt;width:0;height:23.3pt;z-index:251679744" o:connectortype="straight">
            <v:stroke endarrow="block"/>
          </v:shape>
        </w:pict>
      </w:r>
      <w:r w:rsidR="00F844A2">
        <w:rPr>
          <w:noProof/>
        </w:rPr>
        <w:pict>
          <v:shape id="_x0000_s1047" type="#_x0000_t32" style="position:absolute;left:0;text-align:left;margin-left:410.15pt;margin-top:89.7pt;width:0;height:23.3pt;z-index:251678720" o:connectortype="straight">
            <v:stroke endarrow="block"/>
          </v:shape>
        </w:pict>
      </w:r>
      <w:r w:rsidR="00F844A2">
        <w:rPr>
          <w:noProof/>
        </w:rPr>
        <w:pict>
          <v:roundrect id="_x0000_s1030" style="position:absolute;left:0;text-align:left;margin-left:333.35pt;margin-top:113pt;width:150.75pt;height:22.7pt;z-index:251661312" arcsize="10923f">
            <v:textbox style="mso-next-textbox:#_x0000_s1030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落札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shape id="_x0000_s1046" type="#_x0000_t34" style="position:absolute;left:0;text-align:left;margin-left:70.95pt;margin-top:32pt;width:224pt;height:18pt;rotation:180;flip:y;z-index:251677696" o:connectortype="elbow" adj="21648,109140,-30626">
            <v:stroke endarrow="block"/>
          </v:shape>
        </w:pict>
      </w:r>
      <w:r w:rsidR="00F844A2">
        <w:rPr>
          <w:noProof/>
        </w:rPr>
        <w:pict>
          <v:shape id="_x0000_s1045" type="#_x0000_t34" style="position:absolute;left:0;text-align:left;margin-left:256.55pt;margin-top:32pt;width:153.6pt;height:18pt;z-index:251676672" o:connectortype="elbow" adj="21663,-129600,-39263">
            <v:stroke endarrow="block"/>
          </v:shape>
        </w:pict>
      </w:r>
      <w:r w:rsidR="00F844A2">
        <w:rPr>
          <w:noProof/>
        </w:rPr>
        <w:pict>
          <v:shape id="_x0000_s1044" type="#_x0000_t32" style="position:absolute;left:0;text-align:left;margin-left:256.55pt;margin-top:14.95pt;width:0;height:17.05pt;z-index:251675648" o:connectortype="straight"/>
        </w:pict>
      </w:r>
      <w:r w:rsidR="00F844A2">
        <w:rPr>
          <w:noProof/>
        </w:rPr>
        <w:pict>
          <v:roundrect id="_x0000_s1038" style="position:absolute;left:0;text-align:left;margin-left:305.55pt;margin-top:356pt;width:219.8pt;height:39.7pt;z-index:251669504" arcsize="10923f">
            <v:textbox style="mso-next-textbox:#_x0000_s1038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審査（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調査）により契約の内容に適合し</w:t>
                  </w:r>
                  <w:r>
                    <w:rPr>
                      <w:rFonts w:hint="eastAsia"/>
                      <w:sz w:val="20"/>
                      <w:szCs w:val="20"/>
                    </w:rPr>
                    <w:t>た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履行がされると認められる場合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roundrect id="_x0000_s1035" style="position:absolute;left:0;text-align:left;margin-left:19.75pt;margin-top:293pt;width:125pt;height:22.7pt;z-index:251666432" arcsize="10923f">
            <v:textbox style="mso-next-textbox:#_x0000_s1035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審査結果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roundrect id="_x0000_s1033" style="position:absolute;left:0;text-align:left;margin-left:19.75pt;margin-top:248pt;width:125pt;height:22.7pt;z-index:251664384" arcsize="10923f">
            <v:textbox style="mso-next-textbox:#_x0000_s1033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審査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roundrect id="_x0000_s1034" style="position:absolute;left:0;text-align:left;margin-left:19.75pt;margin-top:203pt;width:125pt;height:22.7pt;z-index:251665408" arcsize="10923f">
            <v:textbox style="mso-next-textbox:#_x0000_s1034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委員</w:t>
                  </w:r>
                  <w:r w:rsidRPr="00773BE9">
                    <w:rPr>
                      <w:rFonts w:hint="eastAsia"/>
                      <w:sz w:val="20"/>
                      <w:szCs w:val="20"/>
                    </w:rPr>
                    <w:t>会への報告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roundrect id="_x0000_s1032" style="position:absolute;left:0;text-align:left;margin-left:19.75pt;margin-top:158pt;width:125pt;height:22.7pt;z-index:251663360" arcsize="10923f">
            <v:textbox style="mso-next-textbox:#_x0000_s1032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調査の実施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roundrect id="_x0000_s1031" style="position:absolute;left:0;text-align:left;margin-left:19.75pt;margin-top:113pt;width:125pt;height:22.7pt;z-index:251662336" arcsize="10923f">
            <v:textbox style="mso-next-textbox:#_x0000_s1031" inset="5.85pt,.7pt,5.85pt,.7pt">
              <w:txbxContent>
                <w:p w:rsidR="007E5445" w:rsidRPr="00773BE9" w:rsidRDefault="007E5445" w:rsidP="00773BE9">
                  <w:pPr>
                    <w:spacing w:line="20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保留</w:t>
                  </w:r>
                </w:p>
              </w:txbxContent>
            </v:textbox>
          </v:roundrect>
        </w:pict>
      </w:r>
      <w:r w:rsidR="00F844A2">
        <w:rPr>
          <w:noProof/>
        </w:rPr>
        <w:pict>
          <v:roundrect id="_x0000_s1079" style="position:absolute;left:0;text-align:left;margin-left:-63.65pt;margin-top:302.55pt;width:120.75pt;height:22.7pt;rotation:90;z-index:251706368" arcsize="10923f">
            <v:textbox style="mso-next-textbox:#_x0000_s1079" inset="5.85pt,.7pt,5.85pt,.7pt">
              <w:txbxContent>
                <w:p w:rsidR="007E5445" w:rsidRPr="00773BE9" w:rsidRDefault="007E5445" w:rsidP="00E50C46">
                  <w:pPr>
                    <w:spacing w:line="0" w:lineRule="atLeast"/>
                    <w:jc w:val="center"/>
                    <w:rPr>
                      <w:sz w:val="20"/>
                      <w:szCs w:val="20"/>
                    </w:rPr>
                  </w:pPr>
                  <w:r w:rsidRPr="00773BE9">
                    <w:rPr>
                      <w:rFonts w:hint="eastAsia"/>
                      <w:sz w:val="20"/>
                      <w:szCs w:val="20"/>
                    </w:rPr>
                    <w:t>次順位の者</w:t>
                  </w:r>
                  <w:r>
                    <w:rPr>
                      <w:rFonts w:hint="eastAsia"/>
                      <w:sz w:val="20"/>
                      <w:szCs w:val="20"/>
                    </w:rPr>
                    <w:t>へ通知</w:t>
                  </w:r>
                </w:p>
              </w:txbxContent>
            </v:textbox>
          </v:roundrect>
        </w:pict>
      </w:r>
    </w:p>
    <w:sectPr w:rsidR="00F4565F" w:rsidSect="003925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445" w:rsidRDefault="007E5445" w:rsidP="00786EDA">
      <w:pPr>
        <w:spacing w:line="240" w:lineRule="auto"/>
      </w:pPr>
      <w:r>
        <w:separator/>
      </w:r>
    </w:p>
  </w:endnote>
  <w:endnote w:type="continuationSeparator" w:id="1">
    <w:p w:rsidR="007E5445" w:rsidRDefault="007E5445" w:rsidP="00786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445" w:rsidRDefault="007E5445" w:rsidP="00786EDA">
      <w:pPr>
        <w:spacing w:line="240" w:lineRule="auto"/>
      </w:pPr>
      <w:r>
        <w:separator/>
      </w:r>
    </w:p>
  </w:footnote>
  <w:footnote w:type="continuationSeparator" w:id="1">
    <w:p w:rsidR="007E5445" w:rsidRDefault="007E5445" w:rsidP="00786E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28"/>
  <w:displayHorizontalDrawingGridEvery w:val="0"/>
  <w:displayVerticalDrawingGridEvery w:val="2"/>
  <w:characterSpacingControl w:val="compressPunctuation"/>
  <w:savePreviewPicture/>
  <w:hdrShapeDefaults>
    <o:shapedefaults v:ext="edit" spidmax="18433" fillcolor="white">
      <v:fill color="white"/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65F"/>
    <w:rsid w:val="00011E8C"/>
    <w:rsid w:val="00113BEE"/>
    <w:rsid w:val="00182FF3"/>
    <w:rsid w:val="001C7750"/>
    <w:rsid w:val="00275F87"/>
    <w:rsid w:val="002D5115"/>
    <w:rsid w:val="00340FCF"/>
    <w:rsid w:val="00365C02"/>
    <w:rsid w:val="0039253F"/>
    <w:rsid w:val="00414AD2"/>
    <w:rsid w:val="0042620C"/>
    <w:rsid w:val="004F1814"/>
    <w:rsid w:val="0050005F"/>
    <w:rsid w:val="005B13F6"/>
    <w:rsid w:val="006E09DA"/>
    <w:rsid w:val="0072396E"/>
    <w:rsid w:val="0075701C"/>
    <w:rsid w:val="0077332E"/>
    <w:rsid w:val="00773BE9"/>
    <w:rsid w:val="0077692C"/>
    <w:rsid w:val="00786EDA"/>
    <w:rsid w:val="007E5445"/>
    <w:rsid w:val="008E69ED"/>
    <w:rsid w:val="00963452"/>
    <w:rsid w:val="009919F6"/>
    <w:rsid w:val="00A37B53"/>
    <w:rsid w:val="00B31384"/>
    <w:rsid w:val="00B77496"/>
    <w:rsid w:val="00BB5B84"/>
    <w:rsid w:val="00BC4922"/>
    <w:rsid w:val="00CB00F4"/>
    <w:rsid w:val="00D47CBD"/>
    <w:rsid w:val="00E50C46"/>
    <w:rsid w:val="00E66162"/>
    <w:rsid w:val="00F4565F"/>
    <w:rsid w:val="00F8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  <o:rules v:ext="edit">
        <o:r id="V:Rule23" type="connector" idref="#_x0000_s1047"/>
        <o:r id="V:Rule24" type="connector" idref="#_x0000_s1056"/>
        <o:r id="V:Rule25" type="connector" idref="#_x0000_s1067"/>
        <o:r id="V:Rule26" type="connector" idref="#_x0000_s1044"/>
        <o:r id="V:Rule27" type="connector" idref="#_x0000_s1055"/>
        <o:r id="V:Rule28" type="connector" idref="#_x0000_s1057"/>
        <o:r id="V:Rule29" type="connector" idref="#_x0000_s1045"/>
        <o:r id="V:Rule30" type="connector" idref="#_x0000_s1059"/>
        <o:r id="V:Rule31" type="connector" idref="#_x0000_s1051"/>
        <o:r id="V:Rule32" type="connector" idref="#_x0000_s1071"/>
        <o:r id="V:Rule33" type="connector" idref="#_x0000_s1072"/>
        <o:r id="V:Rule34" type="connector" idref="#_x0000_s1048"/>
        <o:r id="V:Rule35" type="connector" idref="#_x0000_s1058"/>
        <o:r id="V:Rule36" type="connector" idref="#_x0000_s1068"/>
        <o:r id="V:Rule37" type="connector" idref="#_x0000_s1050"/>
        <o:r id="V:Rule38" type="connector" idref="#_x0000_s1060"/>
        <o:r id="V:Rule39" type="connector" idref="#_x0000_s1078"/>
        <o:r id="V:Rule40" type="connector" idref="#_x0000_s1053"/>
        <o:r id="V:Rule41" type="connector" idref="#_x0000_s1052"/>
        <o:r id="V:Rule42" type="connector" idref="#_x0000_s1054"/>
        <o:r id="V:Rule43" type="connector" idref="#_x0000_s1046"/>
        <o:r id="V:Rule44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A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4A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86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86EDA"/>
  </w:style>
  <w:style w:type="paragraph" w:styleId="a7">
    <w:name w:val="footer"/>
    <w:basedOn w:val="a"/>
    <w:link w:val="a8"/>
    <w:uiPriority w:val="99"/>
    <w:semiHidden/>
    <w:unhideWhenUsed/>
    <w:rsid w:val="00786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86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D39A-2E0B-4178-8617-C862E323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u22051</dc:creator>
  <cp:lastModifiedBy>u22051</cp:lastModifiedBy>
  <cp:revision>8</cp:revision>
  <cp:lastPrinted>2012-10-17T01:09:00Z</cp:lastPrinted>
  <dcterms:created xsi:type="dcterms:W3CDTF">2012-10-03T08:26:00Z</dcterms:created>
  <dcterms:modified xsi:type="dcterms:W3CDTF">2012-10-24T08:58:00Z</dcterms:modified>
</cp:coreProperties>
</file>